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Проектная декларация   «Реконструкция квартала № 196 в центральной части г. Краснодара. Жилой комплекс из 2-х 25-этажных жилых домов со встроенными помещениями общественного назначения, объединенных подземной парковкой. Литер 2  (1 этап)»</w:t>
      </w:r>
    </w:p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ИНФОРМАЦИЯ О ЗАСТРОЙЩИКЕ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3192"/>
        <w:gridCol w:w="5891"/>
      </w:tblGrid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Фирменное наименование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Полное название: Общество с ограниченной ответственностью «Модуль-Инвест»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Сокращенное название: ООО    «Модуль-Инвест»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Юридический адрес: 350912 г. Краснодар п. Пашковский ул. 1 Мая, 71/3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Фактический адрес: 350912 г. Краснодар п. Пашковский ул. 1 Мая, 71/3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Режим работы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Понедельник – четверг: с 09.00. до 18.00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Пятница: с 09.00. до 17.00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Перерыв: с 13.00. до 14.00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Выходной: Суббота, воскресенье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Государственная регистрация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Свидетельство о постановке на учет в Инспекции Федеральной налоговой службы № 5 по г. Краснодару, серия 23 № 007183145 от 26.01.2009г.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Учредители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Физические лица, 1 человек: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Георгизова Нина Олеговна 100%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Лицензия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Свидетельство СРО от 26.12.2011 года №0856-2011-2312158290-С-170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Срок действия: без ограничения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Реализованные проекты строительства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Жилой дом в ст. Динской, по ул. Новая, 115а – строительство окончено, дом введен в эксплуатацию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3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Прочие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сведения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 12 месяцев 2016 года:</w:t>
            </w:r>
          </w:p>
          <w:p w:rsidR="00EE4208" w:rsidRPr="00EE4208" w:rsidRDefault="00EE4208" w:rsidP="00EE4208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Финансовый результат  (для целей налогообложения) – 0,0 тыс. руб.</w:t>
            </w:r>
          </w:p>
          <w:p w:rsidR="00EE4208" w:rsidRPr="00EE4208" w:rsidRDefault="00EE4208" w:rsidP="00EE4208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Дебиторская задолженность – 120 783,0 тыс. руб.</w:t>
            </w:r>
          </w:p>
          <w:p w:rsidR="00EE4208" w:rsidRPr="00EE4208" w:rsidRDefault="00EE4208" w:rsidP="00EE4208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Кредиторская задолженность – 0,0 тыс. руб.</w:t>
            </w:r>
          </w:p>
        </w:tc>
      </w:tr>
    </w:tbl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ИНФОРМАЦИЯ О ПРОЕКТЕ СТРОИТЕЛЬСТВА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3075"/>
        <w:gridCol w:w="5982"/>
      </w:tblGrid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Цель проекта строительства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Обеспечение граждан на территории г. Краснодар доступным жильем и улучшение жизненных условий населения.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Этапы и сроки реализации проекта строительства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Начало строительства – 03.12.2014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Предполагаемый срок получения разрешения на ввод объекта в эксплуатацию – 03.10. 2018 года   (четвертый квартал 2018 года) с правом досрочной сдачи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Экспертиза проектной документации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Положительное заключение негосударственной экспертизы № 6-1-1-0034-13 от 24.06.2013 года, объект капитального строительства   «Реконструкция квартала № 196 в центральной части г. Краснодара. Жилой комплекс из 2-х 25-этажных жилых домов со встроенными помещениями общественного назначения, объединенных подземной парковкой. Литер 2  (1 этап)» — ООО  «Краснодарская межрегиональная негосударственная экспертиза», Свидетельство об аккредитации №РОСС RU.0001.610119 от 07.06.2013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Разрешение на строительство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Разрешение на строительство № RU 23306000-3784-р от 03.12.2014г.   «Реконструкция квартала № 196 в центральной части г. Краснодара. Жилой комплекс из 2-х 25-этажных жилых домов со встроенными помещениями общественного назначения, объединенных подземной парковкой. Литер 2  (1 этап)», действительно до 03.10.2018 года.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Договор аренды № 1 от 12.02.2009 г., срок действия до 21.04.2019 года, кадастровый номер 23:43:0303035: 41, площадь 6611            м²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Местоположение и описание строящегося объекта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 Краснодарском крае, г. Краснодар по адресу: ул. Митрофана Седина 131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Конструктив жилого дома из монолитных конструкций,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Площадь застройки здания – 822,5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– 16069,44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Этажность 25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Количество этажей 26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Строительный объем здания 69797,43 м³ , в т.ч. ниже отметки 0,000 – 8689,55 м³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 11315,84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Жилая площадь квартир – 6149,42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Количество квартир – 230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Помещения на отм. 0,000 и выше, встроенные помещения(офисы) – общая площадь 660,83 м² , полезная площадь – 467,72 м² , расчетная площадь 387,76 м² 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Материал наружных стен: несущая 3-слойная конструкция: кладка из керамзитобетонных мелкоштучных блоков; утеплитель — минеральные плиты; навесной вентилируемый фасад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Материал поэтажных перекрытий: железобетонные монолитные перекрытия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Класс энергоэффективности: высокий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Сейсмостойкость здания - 7 баллов.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Площадь участка — 6611,0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Вид строительства — новое.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Показатели объекта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Количество квартир – 230 квартир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1-комнатных – 138 шт.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2-комнатных – 69 шт.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3-комнатных – 23 шт.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 – 11315,84            м²  (с балконами и лоджиями – 11849,36           м²)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Однокомнатные квартиры  (площадь указана с балконами и лоджиями):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37,40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37,42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38,03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38,07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38,08       м² -7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38,12       м² -2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38,19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38,23       м² -7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38,27       м² -6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38,28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38,31       м² -6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38,86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38,96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39,35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39,40       м² -7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39,42       м² -7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39,44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39,50       м² -6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39,60       м² -6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40,77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40,87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41,49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41,53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41,87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41,98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42,10       м² -13 шт.</w:t>
            </w:r>
          </w:p>
          <w:p w:rsidR="00EE4208" w:rsidRPr="00EE4208" w:rsidRDefault="00EE4208" w:rsidP="00EE4208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42,17       м² -13 шт.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Двухкомнатные квартиры  (площадь указана с балконами и лоджиями):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60,67       м² -2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60,89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61,07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61,82       м² -2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62,00       м² -26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76,59       м² -13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Общая площадь квартиры – 77,46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78,62       м² -8 шт.</w:t>
            </w:r>
          </w:p>
          <w:p w:rsidR="00EE4208" w:rsidRPr="00EE4208" w:rsidRDefault="00EE4208" w:rsidP="00EE420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78,74       м² -1 шт.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Трехкомнатные квартиры  (площадь указана с балконами и лоджиями):</w:t>
            </w:r>
          </w:p>
          <w:p w:rsidR="00EE4208" w:rsidRPr="00EE4208" w:rsidRDefault="00EE4208" w:rsidP="00EE4208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78,56       м² -13 шт.</w:t>
            </w:r>
          </w:p>
          <w:p w:rsidR="00EE4208" w:rsidRPr="00EE4208" w:rsidRDefault="00EE4208" w:rsidP="00EE4208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80,01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80,85       м² -1 шт.</w:t>
            </w:r>
          </w:p>
          <w:p w:rsidR="00EE4208" w:rsidRPr="00EE4208" w:rsidRDefault="00EE4208" w:rsidP="00EE4208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81,03       м² -8 шт.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Нежилые  (офисные) помещения на отм. 0,000 и выше, расположены на 1 этаже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Полезная площадь – 467,72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Количество офисных помещений — 33, в том числе: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№8 — 20,22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№9 — 10,00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№10 — 6,75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№11 — 15,92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№12 — 4,61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№13 — 41,56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№14 — 14,20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№15 — 38,67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№16 — 21,35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№17 — 26,44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№18 — 32,58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№19 — 6,10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№20 — 5,80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№21 — 3,00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№22 — 1,56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№23 — 12,45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№24 — 2,68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№25 — 20,22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№26 — 10,00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№27 — 6,75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№28 -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№29 — 4,61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№30 — 41,56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№31 - 13,00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№32 — 6,10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№33 — 5,80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№34 — 3,00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№35 — 21,34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№36 — 34,00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№37 — 11,18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№38 — 3,73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№39 — 2,74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№40 — 19,80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Квартиры и нежилые помещения предполагаются к передаче участникам долевого строительства в степени готовности согласно перечня: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1. Монолитные несущие стены и перекрытия в Квартирах отвечают требованиям СНИП.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2. Установка входной металлической двери без отделки откосов со стороны квартиры.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3. Установка окон и балконных дверей из ПВХ с подоконниками.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4. Установка остекления на балконах и лоджиях из ПВХ согласно проекта.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5. Гидроизоляция полов санузлов.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6. Полы со стяжкой.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7. Монтаж системы отопления с установкой радиаторов.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8. Монтаж системы вентиляции   (без вентиляционных решеток).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9. Монтаж системы водоснабжения: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 — стояки холодного и горячего водоснабжения из труб ПВХ с врезанными патрубками и запорной арматурой (шаровые краны) без внутриквартирной разводки с установкой приборов учета.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10. Монтаж системы канализации: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 xml:space="preserve"> — стояки с отводами   (тройниками или крестовинами) 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для подключения саноборудования.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11. Монтаж системы общего электроснабжения дома с установкой поквартирных счетчиков и монтажом ввода в квартиры.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12. Монтаж системы противопожарной сигнализации и дымоудаления согласно проекта.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13. Устройство стояков телефонного и телевизионного ввода в этажном щите.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Функциональное назначение нежилых помещений первого этажа, не входящих в общее имущество дома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Нежилые помещения первого этажа  предназначены для реализации застройщиком в целях размещения и деятельности различных организаций и предпринимателей   (образования, здравоохранения, отдыха и туризма, спортивно-оздоровительных, культуры и искусства, торговых, коммунально-бытового обслуживания, административных, офисных, проектно-научных и т.д.). Указанные помещения будут реализовываться застройщиком в процессе строительства дома – участникам долевого строительства, либо, в случае финансирования их застройщиком без привлечения участников долевого строительства, – после ввода дома в эксплуатацию и государственной регистрации права собственности застройщика на них – покупателям  (юридическим, физическим лицам) по договорам купли-продажи.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Состав общего имущества дома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Состав общего имущества дома – 3416,07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Помещения общественного пользования – 2553,56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Технические помещения – 862,51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i/>
                <w:iCs/>
                <w:color w:val="222222"/>
                <w:sz w:val="21"/>
                <w:szCs w:val="21"/>
                <w:lang w:eastAsia="ru-RU"/>
              </w:rPr>
              <w:t>Подземная парковка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Технические помещения: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6 Электрощитовая – 14,16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7 Венткамера жилого дома — 15,70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8 Венткамера подземной парковки  — 17,48 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9 ИТП – 33,63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10 Насосная пожаротушения. ВНС – 43,10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13 Техническое помещение – 9,00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Помещения общественного пользования: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2 Лифтовой холл  — 8,08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3 Тамбур – шлюз – 4,00 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4 Коридор для коммуникаций – 80,00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№ 5 Тамбур – шлюз – 14,66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11 Коридор – 7,23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12 Тамбур – шлюз – 6,04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14 Коридор – 10,06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15 Зона ожидания при пожаре для инвалидов 21,11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Лестничные клетки – 43,68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i/>
                <w:iCs/>
                <w:color w:val="222222"/>
                <w:sz w:val="21"/>
                <w:szCs w:val="21"/>
                <w:lang w:eastAsia="ru-RU"/>
              </w:rPr>
              <w:t>1 этаж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Помещения общественного пользования: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1 Вестибюль — 18,12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2 Помещение охраны – 9,90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3 Тамбур – 4,60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4 Сан. узел. КУИ – 4,02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5 Коридор – 12,32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6 Колясочная – 7,55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№ 7 Лифтовой холл – 12,17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Лестничная клетка – 12,24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i/>
                <w:iCs/>
                <w:color w:val="222222"/>
                <w:sz w:val="21"/>
                <w:szCs w:val="21"/>
                <w:lang w:eastAsia="ru-RU"/>
              </w:rPr>
              <w:t>2- 24 этажи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Помещения общественного пользования: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Лифтовой холл – 280,14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Коридор – 1015,98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Лестничная клетка – 281,52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i/>
                <w:iCs/>
                <w:color w:val="222222"/>
                <w:sz w:val="21"/>
                <w:szCs w:val="21"/>
                <w:lang w:eastAsia="ru-RU"/>
              </w:rPr>
              <w:t>Технический этаж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Технические помещения: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Технические помещения — 673,14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Помещения общественного пользования: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Лифтовой холл – 12,18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Лестничная клетка – 12,24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i/>
                <w:iCs/>
                <w:color w:val="222222"/>
                <w:sz w:val="21"/>
                <w:szCs w:val="21"/>
                <w:lang w:eastAsia="ru-RU"/>
              </w:rPr>
              <w:t>Кровля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Технические помещения: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Техническое помещение – 56,30           м²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Помещения общественного пользования: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Крыша – 675,72           м²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Получение разрешения на ввод дома в эксплуатацию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Ориентировочный срок — 03.10.2018 г.  (четвертый квартал 2018 года) 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с правом досрочной сдачи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Организации, участвующие в приемке дома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Застройщик, Генеральный подрядчик, УГСН Краснодарского края, эксплуатирующая организация.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Возможные финансовые и прочие риски при осуществлении проекта строительства и меры по обязательному и добровольному страхованию таких рисков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 случае возникновения финансовых и прочих рисков строительных работ, связанных с обстоятельствами непреодолимой силы, в том числе: стихийных бедствий, военные действия, решения правительственных организаций, изменения законодательства и других неблагоприятных условий — исполнения обязательств по договорам соразмерно времени действия этих обстоятельств.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Строительство ведется в соответствии с Федеральным законом №214-ФЗ от 30.12.2004. Исполнение застройщиком договорных обязательств обеспечено Страхованием.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Страхователь: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1) общество с ограниченной ответственностью «Страховая компания „Высота“,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юридический адрес: 191014, г. Санкт-Петербург, ул. Артиллерийская, д.1, ИНН: 1657009682, КПП: 784101001, ОГРН: 1021603634843, генеральный договор с Застройщиком: 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№ ГО- 023 003 016 00125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от 26.01.2015 г.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2) акционерное общество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«Международная страховая компания профсоюзов „МЕСКО“,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место нахождения: 191334, г. Москва, 5-й Донской проезд, д.21Б, стр.10, ИНН: 7736056157, КПП: 774401001, генеральный договор с Застройщиком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 ЗГО № 231001000 от 18.06.2015 г.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3) Общество с ограниченной ответственностью«Региональная страховая компания», рег.№0072,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ОГРН 1021801434643, ИНН 1832008660, КПП 997950001, г. Москва, ул. Складочная, д.1, стр.15, генеральный договор страхования с Застройщиком №35-44650/2016 от 06.06.2016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Организации, осуществляющие основные строительно-монтажные работы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Застройщик – ООО    «Модуль-Инвест»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4) Общество с ограниченной ответственностью«ПРОМИНСТРАХ»,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юридический адрес: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 xml:space="preserve">123610, г. Москва, Набережная Краснопресненская, 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д.12, офис 1705-1707, ИНН 7704216908, КПП 770301001, генеральный договор страхования с Застройщиком № 35-44650/2016 от 07.04.2017 г.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Проектировщик– ИП Щербинина Т. А.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Генеральный подрядчик – ООО   «Модуль-Инвест»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Основные подрядные организации – ООО   «ЭнергоГарант», ООО  «Опора», ООО   «Персона-Юг», ООО «Лифтстрой», ООО  «Югкранмонтаж», ООО «Промагросервис»,»ГеоСтройХолдинг», ООО    «Кама-Кубань», ООО  «КонТраст-Юг», ОАО ОЗЖБИ и т.д.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Планируемая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Ориентировочно </w:t>
            </w:r>
            <w:r w:rsidRPr="00EE4208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567 740 000 </w:t>
            </w: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руб.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Способ обеспечения исполнения обязательств застройщика по договору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Залог в порядке, предусмотренном ст. 13-15 Федерального закона 214-ФЗ от 30.12.2004г.»Об участии в долевом строительстве многоквартирных домов и иных объектов недвижимости и о внесении изменений в некоторые законодательные акты Российской Федерации»   (с момента государственной регистрации договора участников долевого строительства (залогодержателей) считаются находящимися в залоге право аренды на земельный участок, предоставленный для строительства дома, и строящийся дом.)</w:t>
            </w:r>
          </w:p>
        </w:tc>
      </w:tr>
      <w:tr w:rsidR="00EE4208" w:rsidRPr="00EE4208" w:rsidTr="00EE4208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07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Иные договоры и сделки, на основании которых привлекаются денежные средства для строительства дома</w:t>
            </w:r>
          </w:p>
        </w:tc>
        <w:tc>
          <w:tcPr>
            <w:tcW w:w="5985" w:type="dxa"/>
            <w:shd w:val="clear" w:color="auto" w:fill="FFFFFF"/>
            <w:vAlign w:val="center"/>
            <w:hideMark/>
          </w:tcPr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Привлечение кредитных средств банков, инвестиций частных инвесторов.</w:t>
            </w:r>
          </w:p>
          <w:p w:rsidR="00EE4208" w:rsidRPr="00EE4208" w:rsidRDefault="00EE4208" w:rsidP="00EE420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EE4208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Планируется участие в договорах совместной деятельности</w:t>
            </w:r>
          </w:p>
        </w:tc>
      </w:tr>
    </w:tbl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Проектная декларация опубликована 31.03.2017</w:t>
      </w:r>
    </w:p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 </w:t>
      </w:r>
    </w:p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Генеральный директор ООО   «Модуль-Инвест»</w:t>
      </w:r>
    </w:p>
    <w:p w:rsidR="00EE4208" w:rsidRPr="00EE4208" w:rsidRDefault="00EE4208" w:rsidP="00EE420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EE4208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Георгизов Олег Ильич</w:t>
      </w:r>
    </w:p>
    <w:p w:rsidR="00AC40CA" w:rsidRPr="00EE4208" w:rsidRDefault="00AC40CA" w:rsidP="00EE4208">
      <w:bookmarkStart w:id="0" w:name="_GoBack"/>
      <w:bookmarkEnd w:id="0"/>
    </w:p>
    <w:sectPr w:rsidR="00AC40CA" w:rsidRPr="00EE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17140"/>
    <w:multiLevelType w:val="multilevel"/>
    <w:tmpl w:val="D81E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52790"/>
    <w:multiLevelType w:val="multilevel"/>
    <w:tmpl w:val="0B14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9E7688"/>
    <w:multiLevelType w:val="multilevel"/>
    <w:tmpl w:val="2BD8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674A02"/>
    <w:multiLevelType w:val="multilevel"/>
    <w:tmpl w:val="EC36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763BE"/>
    <w:multiLevelType w:val="multilevel"/>
    <w:tmpl w:val="5852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3C"/>
    <w:rsid w:val="00366F3C"/>
    <w:rsid w:val="00AC40CA"/>
    <w:rsid w:val="00EE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D2D81-5898-42D6-A1F2-5905D9A9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2090</Words>
  <Characters>11917</Characters>
  <Application>Microsoft Office Word</Application>
  <DocSecurity>0</DocSecurity>
  <Lines>99</Lines>
  <Paragraphs>27</Paragraphs>
  <ScaleCrop>false</ScaleCrop>
  <Company/>
  <LinksUpToDate>false</LinksUpToDate>
  <CharactersWithSpaces>13980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2017-05-05T11:24:00Z</dcterms:created>
  <dcterms:modified xsi:type="dcterms:W3CDTF">2017-05-05T11:26:00Z</dcterms:modified>
</cp:coreProperties>
</file>