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Проектная декларация    «Литер 1» по проекту    «Реконструкция квартала №196 в центральной части г. Краснодара»</w:t>
      </w:r>
    </w:p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ИНФОРМАЦИЯ О ЗАСТРОЙЩИКЕ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"/>
        <w:gridCol w:w="3099"/>
        <w:gridCol w:w="6002"/>
      </w:tblGrid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Фирменное наименование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Полное название: Общество с ограниченной ответственностью  «Модуль-Инвест»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Сокращенное название: ООО     «Модуль-Инвест»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Юридический адрес: 350912 г. Краснодар п. Пашковский ул. 1 Мая, 71/3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Фактический адрес: 350912 г. Краснодар п. Пашковский ул. 1 Мая, 71/3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Режим работы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Понедельник – четверг: с 09.00. до 18.00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Пятница: с 09.00. до 17.00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Перерыв: с 13.00. до 14.00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Выходной: Суббота, воскресенье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Государственная регистрация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Свидетельство о постановке на учет в Инспекции Федеральной налоговой службы № 5 по г. Краснодару, серия 23 № 007183145 от 26.01.2009г. 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Свидетельство СРО от 26.12.2011 года №0856-2011-2312158290-С-170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Срок действия: без ограничения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Учредители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Физические лица, 1 человек: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-Георгизова Нина Олеговна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Лицензия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Реализованные проекты строительства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Жилой дом в ст. Динской, по ул. Новая, 115а – строительство окончено, дом введен в эксплуатацию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27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1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Прочие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сведения</w:t>
            </w:r>
          </w:p>
        </w:tc>
        <w:tc>
          <w:tcPr>
            <w:tcW w:w="6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За 12 месяцев 2016 года:</w:t>
            </w:r>
          </w:p>
          <w:p w:rsidR="00366F3C" w:rsidRPr="00366F3C" w:rsidRDefault="00366F3C" w:rsidP="00366F3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Финансовый результат   (для целей налогообложения) – 0,0 тыс. руб.</w:t>
            </w:r>
          </w:p>
          <w:p w:rsidR="00366F3C" w:rsidRPr="00366F3C" w:rsidRDefault="00366F3C" w:rsidP="00366F3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Дебиторская задолженность – 96 691,0 тыс. руб.</w:t>
            </w:r>
          </w:p>
          <w:p w:rsidR="00366F3C" w:rsidRPr="00366F3C" w:rsidRDefault="00366F3C" w:rsidP="00366F3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Кредиторская задолженность – 142 591,0 тыс. руб.</w:t>
            </w:r>
          </w:p>
        </w:tc>
      </w:tr>
    </w:tbl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 ИНФОРМАЦИЯ О ПРОЕКТЕ СТРОИТЕЛЬСТВА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3148"/>
        <w:gridCol w:w="5927"/>
      </w:tblGrid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Цель проекта строительства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Обеспечение граждан на территории г. Краснодар доступным жильем и улучшение жизненных условий населения.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Этапы и сроки реализации проекта строительства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Подготовительные работы- Ордер на производство подготовительных работ № 298 от 15.08.08г.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Начало строительства – 25.03.2009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Предполагаемый срок получения разрешения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на ввод объекта в эксплуатацию – до 23.02.2018 года (с правом досрочной сдачи)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Экспертиза проектной документации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Положительное заключение государственной экспертизы № 23-1-4-0485-12 от 18.06.2012 года, объект капитального строительства, Реконструкция квартала № 196 в центральной части г. Краснодара Литер 1»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Разрешение на строительство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Разрешение на строительство № RU 23306000-1140-р от 25.03.2009г.    «Реконструкцияквартала № 196 в центральной части г. Краснодара Литер 1», действительно до 23.02.2018 года.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Договор аренды № 1 от 12.02.2009 г.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кадастровый номер 23:43:0303035: 41, площадь 6611                          м²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Местоположение и описание строящегося объекта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 Краснодарском крае, г. Краснодар по адресу: ул. Митрофана Седина 131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Конструктив жилого дома из монолитных конструкций,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площадь озеленения 1084,3  м² , площадь твердых покрытий — 2081,3  м² ,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Строительный объем здания  — 68242,30  м³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 т.ч. встроено-пристроенных помещений- 5402,32  м³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автостоянки — 9254,32  м³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техподполья — 1458,24  м³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здания - 21348,86  м²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Автостоянки – 2709,11 м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vertAlign w:val="superscript"/>
                <w:lang w:eastAsia="ru-RU"/>
              </w:rPr>
              <w:t>2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Площадь застройки - 1189,55  м²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Этажность — 25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этажей -26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Материал наружных стен дома: наружные стены выполнены из керамического полнотелого кирпича М100 толщиной 250мм с последующей облицовкой панелями навесного фасада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Материал наружных стен автостоянки: монолитные железобетонные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Материал поэтажных перекрытий: железобетонные монолитные перекрытия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Класс энергоэффективности: высокий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Сейсмостойкость здания - 7 баллов.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Площадь участка — 6611,0    м²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Вид строительства- новое.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Показатели объекта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Количество квартир – 180 квартир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1-комнатных – 90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2-комнатных – 45шт.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3-комнатных – 45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 – 11939,80    м² , площадь квартир 11105,82    м² без балконов.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Однокомнатные квартиры: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-44,28    м² , площадь квартиры без учета балкона- 44,28    м² -3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-47,20    м² , площадь квартиры без учета балкона- 47,20    м² — 1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-47,37    м² , площадь квартиры без учета балкона- 44,28    м² — 16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-47,31    м² , площадь квартиры без учета балкона- 44,22    м² — 16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-48,36    м² , площадь квартиры без учета балкона- 44,22    м² — 10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-52,27    м² , площадь квартиры без учета балкона- 47,14    м² — 10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-52,34    м² , площадь квартиры без учета балкона- 47,14    м² — 16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-52,40    м² , площадь квартиры без учета балкона- 47,20    м² — 18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Двухкомнатные квартиры: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-65,51    м² , площадь квартиры без учета балкона- 69,51    м² -1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-70,29    м² , площадь квартиры без учета балкона- 69,51    м² — 4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-72,41    м² , площадь квартиры без учета балкона- 69,51    м² — 18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-74,91    м² , площадь квартиры без учета балкона- 69,51    м² — 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Общая площадь квартиры – -75,69    м² , площадь квартиры без учета балкона- 69,51    м² — 6шт.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-77,81    м² , площадь квартиры без учета балкона- 69,51    м² — 10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Трехкомнатные квартиры: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-85,91    м² , площадь квартиры без учета балкона- 85,91    м² — 1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-87,89    м² , площадь квартиры без учета балкона- 85,85    м² — 4шт.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-88,86     м² , площадь квартиры без учета балкона- 85,85    м² — 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-88,92     м² , площадь квартиры без учета балкона- 85,91    м² — 12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-92,81    м² , площадь квартиры без учета балкона- 85,85    м² — 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-94,85    м² , площадь квартиры без учета балкона- 85,85    м² — 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-95,82    м² , площадь квартиры без учета балкона- 85,85    м² — 4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квартиры – -95,88    м² , площадь квартиры без учета балкона- 85,91    м² — 6 шт.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Общая площадь и количество встроенных помещений- 1480,35    м² — 65 шт.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Общая площадь автостоянки-2709,11    м² , количество машиномест в автостоянке- 54 шт. 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Квартиры и нежилые помещения предполагаются к передаче участникам долевого строительства в степени готовности:    «без чистовой отделки»: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1. Монолитные несущие стены и перекрытия в Квартирах отвечают требованиям СНИП.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2. Установка входной металлической двери без отделки откосов.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3. Установка окон и балконных дверей из ПВХ с устройством откосов, с подоконниками.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4. Установка остекления на балконах и лоджиях из ПВХ согласно проекта.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5. Гидроизоляция полов санузлов.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6. Полы со стяжкой.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7. Монтаж системы отопления с установкой радиаторов.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8. Монтаж системы вентиляции    (без вентиляционных решеток). 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9. Монтаж системы водоснабжения: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 xml:space="preserve"> — стояки холодного и горячего водоснабжения из труб ПВХ с врезанными патрубками и запорной 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арматурой (шаровые краны) без внутриквартирной разводки с установкой приборов учета.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10. Монтаж системы канализации: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 — стояки с отводами    (тройниками или крестовинами) для подключения саноборудования.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11. Монтаж системы электроснабжения: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 — устройство трубной разводки в теле бетона от места установки квартирного электрощита к потолочным светильникам и выключателям освещения, с протяжкой проводов    (в соответствии с планировочным решением по утвержденному проекту) без установки розеток, выключателей и патронов.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12. Монтаж системы противопожарной сигнализации: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 — смонтированные на потолке датчики, срабатывающие на задымление, включенные в общую систему.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br/>
              <w:t>13. Устройство телефонного, радиоввода и телевизионного ввода в этажном щите.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Автостоянка предполагается к передаче участникам долевого строительства в степени готовности:                  1) бетонные потолки окрашены водоэмульсионной краской;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2) поверхности стен окрашены водоэмульсионной краской;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3) полы – полимерцементнобетонные, бетонные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Функциональное назначение нежилых помещений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Нежилые помещения, </w:t>
            </w:r>
            <w:r w:rsidRPr="00366F3C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в том числе помещения на отметке +74.760 в осях  (3-16) между осями  (А-Д)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(за исключением машинных отделений лифтов, лифтовых шахт, венткамер, электрощитовых, мусоропроводов, водонасосных, узлов теплового учета, индивидуальных теплопунктов, лестничных клеток, общих коридоров, лифтовых холлов) не входят в состав общего имущества дома и предназначены для реализации в целях размещения и деятельности различных организаций и предпринимателей  (образования, здравоохранения, отдыха и туризма, спортивно-оздоровительных, культуры и искусства, торговых, коммунально-бытового обслуживания, административных, офисных, проектно-научных). Указанные помещения будут реализовываться застройщиком в процессе строительства дома – участникам долевого строительства, либо, в случае финансирования их застройщиком без привлечения участников долевого строительства, – после ввода дома в эксплуатацию и государственной регистрации права собственности застройщика на них – покупателям(юридическим, физическим лицам) по договорам купли-продажи.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Состав общего имущества дома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Технические помещения: чердак, тепловой пункт. Помещения общего пользования: лестничные клетки, марши, Внутренние инженерные сети: электроснабжение, водоснабжение, канализация, радиофикация, пожарная сигнализация, телефонизация.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vMerge w:val="restart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Получение разрешения на ввод дома в эксплуатацию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Ориентировочный срок — до 23.02.2018, </w:t>
            </w:r>
            <w:r w:rsidRPr="00366F3C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с правом досрочной сдачи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Организации, участвующие в приемке дома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Застройщик, Генеральный подрядчик, УГСН Краснодарского края, эксплуатирующая организация.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Возможные финансовые и прочие риски при осуществлении проекта строительства и меры по добровольному страхованию таких рисков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В случае возникновения финансовых и прочих рисков строительных работ, связанных с обстоятельствами непреодолимой силы, в том числе: стихийных бедствий, военные действия, решения правительственных организаций, изменения законодательства и других неблагоприятных условий, исполнения обязательств по договорам соразмерно времени действия этих обстоятельств.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Организации, осуществляющие основные строительно-монтажные работы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Застройщик – ООО   «Модуль-Инвест»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Проектировщик– ООО   «Девелопмент-Проект»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Генеральный подрядчик – ООО   «Модуль-Инвест»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Основные подрядные организации – ООО   «ЭнергоГарант», ООО    «Опора», ООО    «Персона-Юг», ООО»Лифтстрой», ООО    «Югкранмонтаж», ООО «Промагросервис»,»ГеоСтройХолдинг», ООО     «Кама-Кубань», ООО    «КонТраст-Юг», ОАО ОЗЖБИ и т.д.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Планируемая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Ориентировочно </w:t>
            </w:r>
            <w:r w:rsidRPr="00366F3C">
              <w:rPr>
                <w:rFonts w:ascii="Tahoma" w:eastAsia="Times New Roman" w:hAnsi="Tahoma" w:cs="Tahoma"/>
                <w:b/>
                <w:bCs/>
                <w:color w:val="222222"/>
                <w:sz w:val="21"/>
                <w:szCs w:val="21"/>
                <w:lang w:eastAsia="ru-RU"/>
              </w:rPr>
              <w:t>677 000 000</w:t>
            </w: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 руб.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Способ обеспечения исполнения обязательств застройщика по договору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Залог в порядке, предусмотренном ст. 13-15 Федерального закона 214-ФЗ от 30.12.2004г.»Об участии в долевом строительстве многоквартирных домов и иных объектов недвижимости и о внесении изменений в некоторые законодательные акты Российской Федерации»    (с момента государственной регистрации договора участников долевого строительства (залогодержателей) считаются находящимися в залоге право аренды на земельный участок, предоставленный для строительства дома, и строящийся дом.)</w:t>
            </w:r>
          </w:p>
        </w:tc>
      </w:tr>
      <w:tr w:rsidR="00366F3C" w:rsidRPr="00366F3C" w:rsidTr="00366F3C">
        <w:trPr>
          <w:tblCellSpacing w:w="0" w:type="dxa"/>
        </w:trPr>
        <w:tc>
          <w:tcPr>
            <w:tcW w:w="42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Иные договоры и сделки, на основании которых привлекаются денежные средства для строительства дома</w:t>
            </w:r>
          </w:p>
        </w:tc>
        <w:tc>
          <w:tcPr>
            <w:tcW w:w="5955" w:type="dxa"/>
            <w:shd w:val="clear" w:color="auto" w:fill="FFFFFF"/>
            <w:vAlign w:val="center"/>
            <w:hideMark/>
          </w:tcPr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Привлечение кредитных средств банков, инвестиций частных инвесторов.</w:t>
            </w:r>
          </w:p>
          <w:p w:rsidR="00366F3C" w:rsidRPr="00366F3C" w:rsidRDefault="00366F3C" w:rsidP="00366F3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</w:pPr>
            <w:r w:rsidRPr="00366F3C">
              <w:rPr>
                <w:rFonts w:ascii="Tahoma" w:eastAsia="Times New Roman" w:hAnsi="Tahoma" w:cs="Tahoma"/>
                <w:color w:val="222222"/>
                <w:sz w:val="21"/>
                <w:szCs w:val="21"/>
                <w:lang w:eastAsia="ru-RU"/>
              </w:rPr>
              <w:t>Планируется участие в договорах совместной деятельности</w:t>
            </w:r>
          </w:p>
        </w:tc>
      </w:tr>
    </w:tbl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*последние изменения внесены 31.03.2017 </w:t>
      </w:r>
    </w:p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Генеральный директор ООО    «Модуль-Инвест»</w:t>
      </w:r>
    </w:p>
    <w:p w:rsidR="00366F3C" w:rsidRPr="00366F3C" w:rsidRDefault="00366F3C" w:rsidP="00366F3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r w:rsidRPr="00366F3C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 Георгизов Олег Ильич</w:t>
      </w:r>
    </w:p>
    <w:p w:rsidR="00AC40CA" w:rsidRDefault="00AC40CA">
      <w:bookmarkStart w:id="0" w:name="_GoBack"/>
      <w:bookmarkEnd w:id="0"/>
    </w:p>
    <w:sectPr w:rsidR="00AC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7140"/>
    <w:multiLevelType w:val="multilevel"/>
    <w:tmpl w:val="D81E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3C"/>
    <w:rsid w:val="00366F3C"/>
    <w:rsid w:val="00A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D2D81-5898-42D6-A1F2-5905D9A9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4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2017-05-05T11:24:00Z</dcterms:created>
  <dcterms:modified xsi:type="dcterms:W3CDTF">2017-05-05T11:25:00Z</dcterms:modified>
</cp:coreProperties>
</file>